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7D" w:rsidRDefault="004B1F7D" w:rsidP="004B1F7D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462915</wp:posOffset>
            </wp:positionV>
            <wp:extent cx="2228850" cy="1676400"/>
            <wp:effectExtent l="19050" t="0" r="0" b="0"/>
            <wp:wrapTight wrapText="bothSides">
              <wp:wrapPolygon edited="0">
                <wp:start x="-185" y="0"/>
                <wp:lineTo x="-185" y="21355"/>
                <wp:lineTo x="21600" y="21355"/>
                <wp:lineTo x="21600" y="0"/>
                <wp:lineTo x="-185" y="0"/>
              </wp:wrapPolygon>
            </wp:wrapTight>
            <wp:docPr id="4" name="Рисунок 4" descr="http://present5.com/presentation/56a5692f769ee60e5d9ccf7bad464406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sent5.com/presentation/56a5692f769ee60e5d9ccf7bad464406/image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D16" w:rsidRPr="00522D16">
        <w:rPr>
          <w:rFonts w:ascii="Times New Roman" w:hAnsi="Times New Roman" w:cs="Times New Roman"/>
          <w:color w:val="333333"/>
          <w:sz w:val="28"/>
          <w:szCs w:val="28"/>
        </w:rPr>
        <w:t xml:space="preserve">Памятка для родителей на тему: </w:t>
      </w:r>
      <w:r w:rsidR="00522D16" w:rsidRPr="00522D16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«Подростковый и детский остеопороз»</w:t>
      </w:r>
    </w:p>
    <w:p w:rsidR="00B753D9" w:rsidRPr="00522D16" w:rsidRDefault="00DB058F" w:rsidP="00B66523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8307705</wp:posOffset>
            </wp:positionH>
            <wp:positionV relativeFrom="paragraph">
              <wp:posOffset>4675505</wp:posOffset>
            </wp:positionV>
            <wp:extent cx="1657350" cy="1733550"/>
            <wp:effectExtent l="19050" t="0" r="0" b="0"/>
            <wp:wrapTight wrapText="bothSides">
              <wp:wrapPolygon edited="0">
                <wp:start x="-248" y="0"/>
                <wp:lineTo x="-248" y="21363"/>
                <wp:lineTo x="21600" y="21363"/>
                <wp:lineTo x="21600" y="0"/>
                <wp:lineTo x="-248" y="0"/>
              </wp:wrapPolygon>
            </wp:wrapTight>
            <wp:docPr id="1" name="Рисунок 1" descr="http://www.поликлиника-7.рф/wp-content/uploads/2017/10/543-1024x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поликлиника-7.рф/wp-content/uploads/2017/10/543-1024x9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341630</wp:posOffset>
            </wp:positionV>
            <wp:extent cx="1562100" cy="1200150"/>
            <wp:effectExtent l="19050" t="0" r="0" b="0"/>
            <wp:wrapTight wrapText="bothSides">
              <wp:wrapPolygon edited="0">
                <wp:start x="-263" y="0"/>
                <wp:lineTo x="-263" y="21257"/>
                <wp:lineTo x="21600" y="21257"/>
                <wp:lineTo x="21600" y="0"/>
                <wp:lineTo x="-263" y="0"/>
              </wp:wrapPolygon>
            </wp:wrapTight>
            <wp:docPr id="19" name="Рисунок 19" descr="https://proartrit.ru/wp-content/uploads/2012/06/osteoporoz-u-det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artrit.ru/wp-content/uploads/2012/06/osteoporoz-u-detey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5189855</wp:posOffset>
            </wp:positionV>
            <wp:extent cx="2695575" cy="1219200"/>
            <wp:effectExtent l="19050" t="0" r="9525" b="0"/>
            <wp:wrapTight wrapText="bothSides">
              <wp:wrapPolygon edited="0">
                <wp:start x="-153" y="0"/>
                <wp:lineTo x="-153" y="21263"/>
                <wp:lineTo x="21676" y="21263"/>
                <wp:lineTo x="21676" y="0"/>
                <wp:lineTo x="-153" y="0"/>
              </wp:wrapPolygon>
            </wp:wrapTight>
            <wp:docPr id="22" name="Рисунок 22" descr="http://medreality.ru/uploads/posts/2015-09/1443549115_osteop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edreality.ru/uploads/posts/2015-09/1443549115_osteopor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F7D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Причины, по которым развивается </w:t>
      </w:r>
      <w:proofErr w:type="gram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>детский</w:t>
      </w:r>
      <w:proofErr w:type="gramEnd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ост</w:t>
      </w:r>
      <w:r w:rsidR="004B1F7D">
        <w:rPr>
          <w:rFonts w:ascii="Helvetica" w:hAnsi="Helvetica" w:cs="Helvetica"/>
          <w:color w:val="333333"/>
          <w:sz w:val="24"/>
          <w:szCs w:val="24"/>
        </w:rPr>
        <w:t xml:space="preserve">еопороз, можно разделить на две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большие группы</w:t>
      </w:r>
      <w:r w:rsidR="00522D16" w:rsidRPr="00522D16">
        <w:rPr>
          <w:rFonts w:ascii="Helvetica" w:hAnsi="Helvetica" w:cs="Helvetica"/>
          <w:b/>
          <w:i/>
          <w:color w:val="333333"/>
          <w:sz w:val="24"/>
          <w:szCs w:val="24"/>
        </w:rPr>
        <w:t>: снижение интенсивности костеобразования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и </w:t>
      </w:r>
      <w:r w:rsidR="00522D16" w:rsidRPr="00522D16">
        <w:rPr>
          <w:rFonts w:ascii="Helvetica" w:hAnsi="Helvetica" w:cs="Helvetica"/>
          <w:b/>
          <w:i/>
          <w:color w:val="333333"/>
          <w:sz w:val="24"/>
          <w:szCs w:val="24"/>
        </w:rPr>
        <w:t>повышение разрушения костной ткани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. В случае внутриутробной патологии говорят </w:t>
      </w:r>
      <w:proofErr w:type="gram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>о</w:t>
      </w:r>
      <w:proofErr w:type="gramEnd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522D16" w:rsidRPr="00522D16">
        <w:rPr>
          <w:rFonts w:ascii="Helvetica" w:hAnsi="Helvetica" w:cs="Helvetica"/>
          <w:b/>
          <w:color w:val="333333"/>
          <w:sz w:val="24"/>
          <w:szCs w:val="24"/>
        </w:rPr>
        <w:t>врожденном остеопорозе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. К нему могут приводить:- недоношенность и незрелость ребенка;- внутриутробная гипоксия (недостаток кислорода) и гипотрофия (сниженная масса) при нарушении функции плаценты;</w:t>
      </w:r>
      <w:r w:rsidR="004B1F7D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- повторные роды с малыми промежутками и многоплодная беременность;</w:t>
      </w:r>
      <w:r w:rsidR="004B1F7D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- хронические заболевания матери и работа во время беременности на производстве с ненормированным графиком;</w:t>
      </w:r>
      <w:r w:rsidR="004B1F7D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- интоксикации (алкоголь, курение, наркотики) в период вынашивания.</w:t>
      </w:r>
      <w:r w:rsidR="00B66523" w:rsidRPr="00B66523"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 xml:space="preserve">У </w:t>
      </w:r>
      <w:r w:rsidR="00522D16" w:rsidRPr="00522D16">
        <w:rPr>
          <w:rFonts w:ascii="Helvetica" w:hAnsi="Helvetica" w:cs="Helvetica"/>
          <w:b/>
          <w:color w:val="333333"/>
          <w:sz w:val="24"/>
          <w:szCs w:val="24"/>
        </w:rPr>
        <w:t>детей первого года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жизни заболевание часто связано со следующими факторами: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искусственное вскармливание неадаптированными смесями;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нарушение процессов всасывания в кишечнике;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недостаточное ультрафиолетовое облучение и дефицит витамина</w:t>
      </w:r>
      <w:proofErr w:type="gram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Д</w:t>
      </w:r>
      <w:proofErr w:type="gramEnd"/>
      <w:r w:rsidR="00522D16" w:rsidRPr="00522D16">
        <w:rPr>
          <w:rFonts w:ascii="Helvetica" w:hAnsi="Helvetica" w:cs="Helvetica"/>
          <w:color w:val="333333"/>
          <w:sz w:val="24"/>
          <w:szCs w:val="24"/>
        </w:rPr>
        <w:t>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нарушение правил гигиены.</w:t>
      </w:r>
      <w:r w:rsidR="00B66523" w:rsidRPr="00B66523"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</w:r>
      <w:r w:rsidR="00522D16" w:rsidRPr="00522D16">
        <w:rPr>
          <w:rFonts w:ascii="Helvetica" w:hAnsi="Helvetica" w:cs="Helvetica"/>
          <w:b/>
          <w:color w:val="333333"/>
          <w:sz w:val="24"/>
          <w:szCs w:val="24"/>
        </w:rPr>
        <w:t>Остеопороз у подростков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может быть обусловлен: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курением и злоупотреблением алкоголя;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неправильным питанием с недостатком молочных продуктов в рационе;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отсутствием физической активности;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хроническими заболеваниями желудочно-кишечного тракта, почек, печени;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системными и воспалительными патологиями (туберкулез, коллагенозы);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действием радиоактивных и токсических веществ;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длительным обездвиживанием по каким-либо</w:t>
      </w:r>
      <w:r w:rsidR="004B1F7D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причинам.</w:t>
      </w:r>
      <w:r w:rsidR="00B66523" w:rsidRPr="00B66523">
        <w:t xml:space="preserve">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 xml:space="preserve">Как правило, в детском возрасте симптомы </w:t>
      </w:r>
      <w:proofErr w:type="spell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>остеопороза</w:t>
      </w:r>
      <w:proofErr w:type="spellEnd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отсутствуют. Лишь при значительном поражении костной ткани может отмечаться боль в области позвоночника, нижних конечностей, а также быстрая </w:t>
      </w:r>
      <w:proofErr w:type="gram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>утомляемость</w:t>
      </w:r>
      <w:proofErr w:type="gramEnd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стоя или сидя. Болевые ощущения сначала появляются лишь в определенном положении тела, постепенно становясь постоянными и ноющими.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 xml:space="preserve">Остеопороз у детей </w:t>
      </w:r>
      <w:r w:rsidR="00522D16" w:rsidRPr="00522D16">
        <w:rPr>
          <w:rFonts w:ascii="Helvetica" w:hAnsi="Helvetica" w:cs="Helvetica"/>
          <w:b/>
          <w:color w:val="333333"/>
          <w:sz w:val="24"/>
          <w:szCs w:val="24"/>
        </w:rPr>
        <w:t>может проявляться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: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более низким ростом по сравнению со сверстниками;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изменением</w:t>
      </w:r>
      <w:r w:rsidR="00522D16">
        <w:rPr>
          <w:rFonts w:ascii="Helvetica" w:hAnsi="Helvetica" w:cs="Helvetica"/>
          <w:color w:val="333333"/>
          <w:sz w:val="24"/>
          <w:szCs w:val="24"/>
        </w:rPr>
        <w:t xml:space="preserve"> осанки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t>;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>- из-за отклонения позвоночного столба вбок на одной из боковых поверхностей тела могут образовываться асимметричные кожные складки.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 xml:space="preserve">Остеопороз у детей хорошо поддается терапии, если начать ее вовремя. 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 xml:space="preserve">Для профилактики развития детского </w:t>
      </w:r>
      <w:proofErr w:type="spell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>остеопороза</w:t>
      </w:r>
      <w:proofErr w:type="spellEnd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можно принимать препараты кальция, магния и витамин Д.</w:t>
      </w:r>
      <w:r w:rsidR="00522D16" w:rsidRPr="00522D16">
        <w:rPr>
          <w:rFonts w:ascii="Helvetica" w:hAnsi="Helvetica" w:cs="Helvetica"/>
          <w:color w:val="333333"/>
          <w:sz w:val="24"/>
          <w:szCs w:val="24"/>
        </w:rPr>
        <w:br/>
        <w:t xml:space="preserve">Остеопороз у детей – не приговор, с этой проблемой вполне реально справиться. Родителям стоит ответственно подойти к профилактике и своевременному выявлению симптомов болезни. Если с детства приучать к спорту и здоровому питанию – то можно сохранить кости </w:t>
      </w:r>
      <w:proofErr w:type="gramStart"/>
      <w:r w:rsidR="00522D16" w:rsidRPr="00522D16">
        <w:rPr>
          <w:rFonts w:ascii="Helvetica" w:hAnsi="Helvetica" w:cs="Helvetica"/>
          <w:color w:val="333333"/>
          <w:sz w:val="24"/>
          <w:szCs w:val="24"/>
        </w:rPr>
        <w:t>крепкими</w:t>
      </w:r>
      <w:proofErr w:type="gramEnd"/>
      <w:r w:rsidR="00522D16" w:rsidRPr="00522D16">
        <w:rPr>
          <w:rFonts w:ascii="Helvetica" w:hAnsi="Helvetica" w:cs="Helvetica"/>
          <w:color w:val="333333"/>
          <w:sz w:val="24"/>
          <w:szCs w:val="24"/>
        </w:rPr>
        <w:t xml:space="preserve"> на долгие годы.</w:t>
      </w:r>
      <w:r w:rsidR="004B1F7D" w:rsidRPr="004B1F7D">
        <w:t xml:space="preserve"> </w:t>
      </w:r>
    </w:p>
    <w:sectPr w:rsidR="00B753D9" w:rsidRPr="00522D16" w:rsidSect="00B66523">
      <w:pgSz w:w="16838" w:h="11906" w:orient="landscape"/>
      <w:pgMar w:top="426" w:right="536" w:bottom="426" w:left="567" w:header="708" w:footer="708" w:gutter="0"/>
      <w:cols w:num="3" w:space="6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D16"/>
    <w:rsid w:val="004B1F7D"/>
    <w:rsid w:val="00522D16"/>
    <w:rsid w:val="00B66523"/>
    <w:rsid w:val="00B753D9"/>
    <w:rsid w:val="00DB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3631-0B80-4E4D-A66D-A5465CB9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2018-10-19T11:09:00Z</dcterms:created>
  <dcterms:modified xsi:type="dcterms:W3CDTF">2018-10-19T11:42:00Z</dcterms:modified>
</cp:coreProperties>
</file>